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50EFC" w14:textId="1BD03AA7" w:rsidR="00C61634" w:rsidRPr="00C61634" w:rsidRDefault="00C61634" w:rsidP="00C61634">
      <w:pPr>
        <w:jc w:val="center"/>
        <w:rPr>
          <w:b/>
          <w:bCs/>
          <w:sz w:val="28"/>
          <w:szCs w:val="28"/>
          <w:lang w:val="en-US"/>
        </w:rPr>
      </w:pPr>
      <w:r w:rsidRPr="00C61634">
        <w:rPr>
          <w:b/>
          <w:bCs/>
          <w:sz w:val="28"/>
          <w:szCs w:val="28"/>
          <w:lang w:val="en-US"/>
        </w:rPr>
        <w:t xml:space="preserve">Alexander the Great and the Hellenistic </w:t>
      </w:r>
      <w:r w:rsidR="00587B8F">
        <w:rPr>
          <w:b/>
          <w:bCs/>
          <w:sz w:val="28"/>
          <w:szCs w:val="28"/>
          <w:lang w:val="en-US"/>
        </w:rPr>
        <w:t>W</w:t>
      </w:r>
      <w:r w:rsidRPr="00C61634">
        <w:rPr>
          <w:b/>
          <w:bCs/>
          <w:sz w:val="28"/>
          <w:szCs w:val="28"/>
          <w:lang w:val="en-US"/>
        </w:rPr>
        <w:t>orld</w:t>
      </w:r>
    </w:p>
    <w:p w14:paraId="631DAABC" w14:textId="47258168" w:rsidR="00C61634" w:rsidRDefault="00BE145C" w:rsidP="00C61634">
      <w:pPr>
        <w:jc w:val="center"/>
        <w:rPr>
          <w:b/>
          <w:bCs/>
          <w:lang w:val="en-US"/>
        </w:rPr>
      </w:pPr>
      <w:r>
        <w:rPr>
          <w:b/>
          <w:bCs/>
          <w:lang w:val="en-US"/>
        </w:rPr>
        <w:t xml:space="preserve">Instructor: </w:t>
      </w:r>
      <w:r w:rsidR="00C61634" w:rsidRPr="00C61634">
        <w:rPr>
          <w:b/>
          <w:bCs/>
          <w:lang w:val="en-US"/>
        </w:rPr>
        <w:t xml:space="preserve">Katerina </w:t>
      </w:r>
      <w:proofErr w:type="spellStart"/>
      <w:r w:rsidR="00C61634" w:rsidRPr="00C61634">
        <w:rPr>
          <w:b/>
          <w:bCs/>
          <w:lang w:val="en-US"/>
        </w:rPr>
        <w:t>Panagopoulou</w:t>
      </w:r>
      <w:proofErr w:type="spellEnd"/>
    </w:p>
    <w:p w14:paraId="16CBDD05" w14:textId="77777777" w:rsidR="00C61634" w:rsidRPr="00C61634" w:rsidRDefault="00C61634" w:rsidP="00C61634">
      <w:pPr>
        <w:jc w:val="center"/>
        <w:rPr>
          <w:b/>
          <w:bCs/>
          <w:lang w:val="en-US"/>
        </w:rPr>
      </w:pPr>
    </w:p>
    <w:p w14:paraId="3BFC9839" w14:textId="59C7FD31" w:rsidR="00C61634" w:rsidRPr="00C61634" w:rsidRDefault="00C61634" w:rsidP="00C61634">
      <w:pPr>
        <w:jc w:val="center"/>
        <w:rPr>
          <w:b/>
          <w:bCs/>
          <w:lang w:val="en-US"/>
        </w:rPr>
      </w:pPr>
      <w:r w:rsidRPr="00C61634">
        <w:rPr>
          <w:b/>
          <w:bCs/>
          <w:lang w:val="en-US"/>
        </w:rPr>
        <w:t>Summary</w:t>
      </w:r>
    </w:p>
    <w:p w14:paraId="47144DE9" w14:textId="2DB72DF0" w:rsidR="00C61634" w:rsidRPr="00C61634" w:rsidRDefault="00C61634" w:rsidP="00C61634">
      <w:pPr>
        <w:jc w:val="both"/>
        <w:rPr>
          <w:lang w:val="en-US"/>
        </w:rPr>
      </w:pPr>
      <w:r w:rsidRPr="00C61634">
        <w:rPr>
          <w:lang w:val="en-US"/>
        </w:rPr>
        <w:t>Th</w:t>
      </w:r>
      <w:r>
        <w:rPr>
          <w:lang w:val="en-US"/>
        </w:rPr>
        <w:t>is</w:t>
      </w:r>
      <w:r w:rsidRPr="00C61634">
        <w:rPr>
          <w:lang w:val="en-US"/>
        </w:rPr>
        <w:t xml:space="preserve"> course offers an overview of the </w:t>
      </w:r>
      <w:r>
        <w:rPr>
          <w:lang w:val="en-US"/>
        </w:rPr>
        <w:t>c.</w:t>
      </w:r>
      <w:r w:rsidRPr="00C61634">
        <w:rPr>
          <w:lang w:val="en-US"/>
        </w:rPr>
        <w:t>300 years between the conquest of the Persian kingdom by Alexander the Great</w:t>
      </w:r>
      <w:r>
        <w:rPr>
          <w:lang w:val="en-US"/>
        </w:rPr>
        <w:t xml:space="preserve"> and his expansion to India (334-324 BC)</w:t>
      </w:r>
      <w:r w:rsidRPr="00C61634">
        <w:rPr>
          <w:lang w:val="en-US"/>
        </w:rPr>
        <w:t xml:space="preserve"> and </w:t>
      </w:r>
      <w:r>
        <w:rPr>
          <w:lang w:val="en-US"/>
        </w:rPr>
        <w:t>the subjugation of the last Hellenistic state, Ptolemaic Egypt, to Rome (31 BC)</w:t>
      </w:r>
      <w:r w:rsidRPr="00C61634">
        <w:rPr>
          <w:lang w:val="en-US"/>
        </w:rPr>
        <w:t xml:space="preserve">. The emergence </w:t>
      </w:r>
      <w:r>
        <w:rPr>
          <w:lang w:val="en-US"/>
        </w:rPr>
        <w:t xml:space="preserve">by 275 BC </w:t>
      </w:r>
      <w:r w:rsidRPr="00C61634">
        <w:rPr>
          <w:lang w:val="en-US"/>
        </w:rPr>
        <w:t>of Hellenistic kingdoms from</w:t>
      </w:r>
      <w:r>
        <w:rPr>
          <w:lang w:val="en-US"/>
        </w:rPr>
        <w:t xml:space="preserve"> the</w:t>
      </w:r>
      <w:r w:rsidRPr="00C61634">
        <w:rPr>
          <w:lang w:val="en-US"/>
        </w:rPr>
        <w:t xml:space="preserve"> </w:t>
      </w:r>
      <w:r>
        <w:rPr>
          <w:lang w:val="en-US"/>
        </w:rPr>
        <w:t>extended</w:t>
      </w:r>
      <w:r w:rsidRPr="00C61634">
        <w:rPr>
          <w:lang w:val="en-US"/>
        </w:rPr>
        <w:t xml:space="preserve"> Macedonian kingdom established by Alexander the Great</w:t>
      </w:r>
      <w:r>
        <w:rPr>
          <w:lang w:val="en-US"/>
        </w:rPr>
        <w:t xml:space="preserve"> opened up a new era, during which it was kings who pulled the strings of political entities around the Mediterranean. The present course aims to </w:t>
      </w:r>
      <w:r w:rsidR="00A702A7">
        <w:rPr>
          <w:lang w:val="en-US"/>
        </w:rPr>
        <w:t>outline</w:t>
      </w:r>
      <w:r>
        <w:rPr>
          <w:lang w:val="en-US"/>
        </w:rPr>
        <w:t xml:space="preserve"> the administrative, economic, social and cultural profile of each of the main kingdoms, in order to highlight their respective similarities and major divergences. Our ultimate aim is not only to reveal the reasons that led to the Hellenistic states’ gradual subjugation to Rome and to the transformation of the Mediterranean into a Roman “mare nostrum”, but also to offer a glimpse of the diverse, distinct features which emerged and flourished within the cosmopolitan environment thus formed and which may be considered peculiar to this exceptionally stimulating, and strikingly similar to the modern, period.</w:t>
      </w:r>
    </w:p>
    <w:p w14:paraId="5149D07E" w14:textId="77777777" w:rsidR="00C61634" w:rsidRPr="00C61634" w:rsidRDefault="00C61634">
      <w:pPr>
        <w:rPr>
          <w:b/>
          <w:bCs/>
          <w:lang w:val="en-US"/>
        </w:rPr>
      </w:pPr>
    </w:p>
    <w:p w14:paraId="794DC246" w14:textId="15FC7CB6" w:rsidR="00C61634" w:rsidRPr="00C61634" w:rsidRDefault="00C61634">
      <w:pPr>
        <w:rPr>
          <w:b/>
          <w:bCs/>
          <w:lang w:val="en-US"/>
        </w:rPr>
      </w:pPr>
      <w:r w:rsidRPr="00C61634">
        <w:rPr>
          <w:b/>
          <w:bCs/>
          <w:lang w:val="en-US"/>
        </w:rPr>
        <w:t>Weekly Schedule:</w:t>
      </w:r>
      <w:bookmarkStart w:id="0" w:name="_GoBack"/>
      <w:bookmarkEnd w:id="0"/>
    </w:p>
    <w:p w14:paraId="18C9CE7A" w14:textId="4911C6A0" w:rsidR="00C61634" w:rsidRPr="00C61634" w:rsidRDefault="00C61634">
      <w:pPr>
        <w:rPr>
          <w:b/>
          <w:bCs/>
          <w:lang w:val="en-US"/>
        </w:rPr>
      </w:pPr>
      <w:r w:rsidRPr="00C61634">
        <w:rPr>
          <w:lang w:val="en-US"/>
        </w:rPr>
        <w:t>Week 1</w:t>
      </w:r>
      <w:r w:rsidRPr="00C61634">
        <w:rPr>
          <w:b/>
          <w:bCs/>
          <w:lang w:val="en-US"/>
        </w:rPr>
        <w:t xml:space="preserve"> Setting the Scene: Alexander the Great’s Asia Minor Campaign.</w:t>
      </w:r>
    </w:p>
    <w:p w14:paraId="5D9C2CD2" w14:textId="04768FDA" w:rsidR="00C61634" w:rsidRPr="00C61634" w:rsidRDefault="00C61634" w:rsidP="00C61634">
      <w:pPr>
        <w:jc w:val="both"/>
        <w:rPr>
          <w:b/>
          <w:bCs/>
          <w:lang w:val="en-US"/>
        </w:rPr>
      </w:pPr>
      <w:r w:rsidRPr="00C61634">
        <w:rPr>
          <w:lang w:val="en-US"/>
        </w:rPr>
        <w:t>Week 2</w:t>
      </w:r>
      <w:r w:rsidRPr="00C61634">
        <w:rPr>
          <w:b/>
          <w:bCs/>
          <w:lang w:val="en-US"/>
        </w:rPr>
        <w:t xml:space="preserve"> The new Macedonian kingdom (Balkans, Asia Minor, Egypt). The Diadochi Wars between Alexander III’s demise and the formation of Hellenistic kingdoms (323 - c. 275 BC). The appeal of Alexander the Great upon his peers and upon later rulers. Alexander the Great’s impact on a) the economy, b) society and culture, c) religion.</w:t>
      </w:r>
    </w:p>
    <w:p w14:paraId="7333E28F" w14:textId="71A3E735" w:rsidR="00C61634" w:rsidRDefault="00C61634" w:rsidP="00C61634">
      <w:pPr>
        <w:jc w:val="both"/>
        <w:rPr>
          <w:b/>
          <w:bCs/>
          <w:lang w:val="en-US"/>
        </w:rPr>
      </w:pPr>
      <w:r w:rsidRPr="00C61634">
        <w:rPr>
          <w:lang w:val="en-US"/>
        </w:rPr>
        <w:t>Week 3</w:t>
      </w:r>
      <w:r w:rsidRPr="00C61634">
        <w:rPr>
          <w:b/>
          <w:bCs/>
          <w:lang w:val="en-US"/>
        </w:rPr>
        <w:t xml:space="preserve"> The</w:t>
      </w:r>
      <w:r>
        <w:rPr>
          <w:b/>
          <w:bCs/>
          <w:lang w:val="en-US"/>
        </w:rPr>
        <w:t xml:space="preserve"> world of the Epigonoi and the</w:t>
      </w:r>
      <w:r w:rsidRPr="00C61634">
        <w:rPr>
          <w:b/>
          <w:bCs/>
          <w:lang w:val="en-US"/>
        </w:rPr>
        <w:t xml:space="preserve"> genesis of international history</w:t>
      </w:r>
      <w:r>
        <w:rPr>
          <w:b/>
          <w:bCs/>
          <w:lang w:val="en-US"/>
        </w:rPr>
        <w:t>:</w:t>
      </w:r>
      <w:r w:rsidRPr="00C61634">
        <w:rPr>
          <w:b/>
          <w:bCs/>
          <w:lang w:val="en-US"/>
        </w:rPr>
        <w:t xml:space="preserve"> the</w:t>
      </w:r>
      <w:r>
        <w:rPr>
          <w:b/>
          <w:bCs/>
          <w:lang w:val="en-US"/>
        </w:rPr>
        <w:t xml:space="preserve"> formation of</w:t>
      </w:r>
      <w:r w:rsidRPr="00C61634">
        <w:rPr>
          <w:b/>
          <w:bCs/>
          <w:lang w:val="en-US"/>
        </w:rPr>
        <w:t xml:space="preserve"> Hellenistic kingdoms </w:t>
      </w:r>
      <w:r>
        <w:rPr>
          <w:b/>
          <w:bCs/>
          <w:lang w:val="en-US"/>
        </w:rPr>
        <w:t>and</w:t>
      </w:r>
      <w:r w:rsidRPr="00C61634">
        <w:rPr>
          <w:b/>
          <w:bCs/>
          <w:lang w:val="en-US"/>
        </w:rPr>
        <w:t xml:space="preserve"> their clash with Rome</w:t>
      </w:r>
      <w:r>
        <w:rPr>
          <w:b/>
          <w:bCs/>
          <w:lang w:val="en-US"/>
        </w:rPr>
        <w:t xml:space="preserve"> (275-31 BC)</w:t>
      </w:r>
      <w:r w:rsidRPr="00C61634">
        <w:rPr>
          <w:b/>
          <w:bCs/>
          <w:lang w:val="en-US"/>
        </w:rPr>
        <w:t>.</w:t>
      </w:r>
    </w:p>
    <w:p w14:paraId="1FBC73D3" w14:textId="05AA5963" w:rsidR="00C61634" w:rsidRPr="00C61634" w:rsidRDefault="00C61634" w:rsidP="00C61634">
      <w:pPr>
        <w:jc w:val="both"/>
        <w:rPr>
          <w:b/>
          <w:bCs/>
          <w:lang w:val="en-US"/>
        </w:rPr>
      </w:pPr>
      <w:r w:rsidRPr="00C61634">
        <w:rPr>
          <w:b/>
          <w:bCs/>
          <w:lang w:val="en-US"/>
        </w:rPr>
        <w:t>Hellenistic kingship. Kings and Hellenistic kingdoms. The Macedonian kingdom and mainland Greece.</w:t>
      </w:r>
    </w:p>
    <w:p w14:paraId="521C4F18" w14:textId="45F20A86" w:rsidR="00C61634" w:rsidRPr="00C61634" w:rsidRDefault="00C61634">
      <w:pPr>
        <w:rPr>
          <w:b/>
          <w:bCs/>
          <w:lang w:val="en-US"/>
        </w:rPr>
      </w:pPr>
      <w:r w:rsidRPr="00C61634">
        <w:rPr>
          <w:lang w:val="en-US"/>
        </w:rPr>
        <w:t xml:space="preserve">Week 4 </w:t>
      </w:r>
      <w:r w:rsidRPr="00C61634">
        <w:rPr>
          <w:b/>
          <w:bCs/>
          <w:lang w:val="en-US"/>
        </w:rPr>
        <w:t>The Ptolemaic Kingdom: economy, society, religion.</w:t>
      </w:r>
    </w:p>
    <w:p w14:paraId="4F459ED3" w14:textId="58365616" w:rsidR="00C61634" w:rsidRPr="00C61634" w:rsidRDefault="00C61634">
      <w:pPr>
        <w:rPr>
          <w:b/>
          <w:bCs/>
          <w:lang w:val="en-US"/>
        </w:rPr>
      </w:pPr>
      <w:r w:rsidRPr="00C61634">
        <w:rPr>
          <w:lang w:val="en-US"/>
        </w:rPr>
        <w:t xml:space="preserve">Week 5 </w:t>
      </w:r>
      <w:r w:rsidRPr="00C61634">
        <w:rPr>
          <w:b/>
          <w:bCs/>
          <w:lang w:val="en-US"/>
        </w:rPr>
        <w:t xml:space="preserve">The Seleucid kingdom: economy, society, religion. </w:t>
      </w:r>
    </w:p>
    <w:p w14:paraId="4C94B7C0" w14:textId="4A59CCBB" w:rsidR="00C61634" w:rsidRPr="00C61634" w:rsidRDefault="00C61634">
      <w:pPr>
        <w:rPr>
          <w:lang w:val="en-US"/>
        </w:rPr>
      </w:pPr>
      <w:r w:rsidRPr="00C61634">
        <w:rPr>
          <w:lang w:val="en-US"/>
        </w:rPr>
        <w:t xml:space="preserve">Week 6 </w:t>
      </w:r>
      <w:r w:rsidRPr="00C61634">
        <w:rPr>
          <w:b/>
          <w:bCs/>
          <w:lang w:val="en-US"/>
        </w:rPr>
        <w:t>The Attalid and minor kingdoms.</w:t>
      </w:r>
    </w:p>
    <w:p w14:paraId="5ADA72FD" w14:textId="5B74BF71" w:rsidR="00C61634" w:rsidRPr="00C61634" w:rsidRDefault="00C61634" w:rsidP="00C61634">
      <w:pPr>
        <w:jc w:val="both"/>
        <w:rPr>
          <w:lang w:val="en-US"/>
        </w:rPr>
      </w:pPr>
      <w:r w:rsidRPr="00C61634">
        <w:rPr>
          <w:lang w:val="en-US"/>
        </w:rPr>
        <w:t xml:space="preserve">Week 7 </w:t>
      </w:r>
      <w:r w:rsidRPr="00C61634">
        <w:rPr>
          <w:b/>
          <w:bCs/>
          <w:lang w:val="en-US"/>
        </w:rPr>
        <w:t>Poleis and Confederacies. Greek poleis. Middle-range Poleis: Athens, Rhodes. Confederacies, Achaean and Aitolian.</w:t>
      </w:r>
    </w:p>
    <w:p w14:paraId="2D7A8949" w14:textId="13F5C670" w:rsidR="00C61634" w:rsidRPr="00C61634" w:rsidRDefault="00C61634" w:rsidP="00C61634">
      <w:pPr>
        <w:jc w:val="both"/>
        <w:rPr>
          <w:b/>
          <w:bCs/>
          <w:lang w:val="en-US"/>
        </w:rPr>
      </w:pPr>
      <w:r w:rsidRPr="00C61634">
        <w:rPr>
          <w:lang w:val="en-US"/>
        </w:rPr>
        <w:t xml:space="preserve">Week 9 </w:t>
      </w:r>
      <w:r w:rsidRPr="00C61634">
        <w:rPr>
          <w:b/>
          <w:bCs/>
          <w:lang w:val="en-US"/>
        </w:rPr>
        <w:t xml:space="preserve">The </w:t>
      </w:r>
      <w:r w:rsidRPr="00C61634">
        <w:rPr>
          <w:b/>
          <w:bCs/>
          <w:i/>
          <w:iCs/>
          <w:lang w:val="en-US"/>
        </w:rPr>
        <w:t>symploke:</w:t>
      </w:r>
      <w:r w:rsidRPr="00C61634">
        <w:rPr>
          <w:b/>
          <w:bCs/>
          <w:lang w:val="en-US"/>
        </w:rPr>
        <w:t xml:space="preserve"> Rome’s </w:t>
      </w:r>
      <w:r>
        <w:rPr>
          <w:b/>
          <w:bCs/>
          <w:lang w:val="en-US"/>
        </w:rPr>
        <w:t>emergence</w:t>
      </w:r>
      <w:r w:rsidRPr="00C61634">
        <w:rPr>
          <w:b/>
          <w:bCs/>
          <w:lang w:val="en-US"/>
        </w:rPr>
        <w:t xml:space="preserve"> into international affairs and the conquest of Hellenistic kingdoms. The conquest’s impact on finance, administration, society, religion. </w:t>
      </w:r>
      <w:r>
        <w:rPr>
          <w:b/>
          <w:bCs/>
          <w:lang w:val="en-US"/>
        </w:rPr>
        <w:t xml:space="preserve">Mercenaries, </w:t>
      </w:r>
      <w:r w:rsidRPr="00C61634">
        <w:rPr>
          <w:b/>
          <w:bCs/>
          <w:i/>
          <w:iCs/>
          <w:lang w:val="en-US"/>
        </w:rPr>
        <w:t>lestai</w:t>
      </w:r>
      <w:r>
        <w:rPr>
          <w:b/>
          <w:bCs/>
          <w:lang w:val="en-US"/>
        </w:rPr>
        <w:t>, piracy.</w:t>
      </w:r>
    </w:p>
    <w:p w14:paraId="72A7FC9C" w14:textId="5EF92EFF" w:rsidR="00C61634" w:rsidRPr="00C61634" w:rsidRDefault="00C61634" w:rsidP="00C61634">
      <w:pPr>
        <w:jc w:val="both"/>
        <w:rPr>
          <w:lang w:val="en-US"/>
        </w:rPr>
      </w:pPr>
      <w:r w:rsidRPr="00C61634">
        <w:rPr>
          <w:lang w:val="en-US"/>
        </w:rPr>
        <w:t xml:space="preserve">Week 10 </w:t>
      </w:r>
      <w:r w:rsidRPr="00C61634">
        <w:rPr>
          <w:b/>
          <w:bCs/>
          <w:lang w:val="en-US"/>
        </w:rPr>
        <w:t>The economic and administrative features of the Hellenistic period – ancient sources.</w:t>
      </w:r>
    </w:p>
    <w:p w14:paraId="2E735FF1" w14:textId="6323FF67" w:rsidR="00C61634" w:rsidRPr="00C61634" w:rsidRDefault="00C61634">
      <w:pPr>
        <w:rPr>
          <w:b/>
          <w:bCs/>
          <w:lang w:val="en-US"/>
        </w:rPr>
      </w:pPr>
      <w:r w:rsidRPr="00C61634">
        <w:rPr>
          <w:lang w:val="en-US"/>
        </w:rPr>
        <w:t>Week 11</w:t>
      </w:r>
      <w:r>
        <w:rPr>
          <w:lang w:val="en-US"/>
        </w:rPr>
        <w:t xml:space="preserve"> </w:t>
      </w:r>
      <w:r w:rsidRPr="00C61634">
        <w:rPr>
          <w:b/>
          <w:bCs/>
          <w:lang w:val="en-US"/>
        </w:rPr>
        <w:t>Social</w:t>
      </w:r>
      <w:r>
        <w:rPr>
          <w:b/>
          <w:bCs/>
          <w:lang w:val="en-US"/>
        </w:rPr>
        <w:t>, cultural</w:t>
      </w:r>
      <w:r w:rsidRPr="00C61634">
        <w:rPr>
          <w:b/>
          <w:bCs/>
          <w:lang w:val="en-US"/>
        </w:rPr>
        <w:t xml:space="preserve"> and religious features </w:t>
      </w:r>
      <w:r>
        <w:rPr>
          <w:b/>
          <w:bCs/>
          <w:lang w:val="en-US"/>
        </w:rPr>
        <w:t>(i.e. f</w:t>
      </w:r>
      <w:r w:rsidRPr="00C61634">
        <w:rPr>
          <w:b/>
          <w:bCs/>
          <w:lang w:val="en-US"/>
        </w:rPr>
        <w:t xml:space="preserve">rom ruler cults to </w:t>
      </w:r>
      <w:r>
        <w:rPr>
          <w:b/>
          <w:bCs/>
          <w:lang w:val="en-US"/>
        </w:rPr>
        <w:t>“</w:t>
      </w:r>
      <w:r w:rsidRPr="00C61634">
        <w:rPr>
          <w:b/>
          <w:bCs/>
          <w:lang w:val="en-US"/>
        </w:rPr>
        <w:t>megatheism</w:t>
      </w:r>
      <w:r>
        <w:rPr>
          <w:b/>
          <w:bCs/>
          <w:lang w:val="en-US"/>
        </w:rPr>
        <w:t>”)</w:t>
      </w:r>
      <w:r w:rsidRPr="00C61634">
        <w:rPr>
          <w:b/>
          <w:bCs/>
          <w:lang w:val="en-US"/>
        </w:rPr>
        <w:t xml:space="preserve"> – ancient sources.</w:t>
      </w:r>
    </w:p>
    <w:p w14:paraId="28CB0A9A" w14:textId="63822DB7" w:rsidR="00C61634" w:rsidRPr="00C61634" w:rsidRDefault="00C61634">
      <w:pPr>
        <w:rPr>
          <w:b/>
          <w:bCs/>
          <w:lang w:val="en-US"/>
        </w:rPr>
      </w:pPr>
      <w:r w:rsidRPr="00C61634">
        <w:rPr>
          <w:lang w:val="en-US"/>
        </w:rPr>
        <w:t>Week 12</w:t>
      </w:r>
      <w:r w:rsidRPr="00C61634">
        <w:rPr>
          <w:b/>
          <w:bCs/>
          <w:lang w:val="en-US"/>
        </w:rPr>
        <w:t xml:space="preserve"> Student Presentations</w:t>
      </w:r>
      <w:r>
        <w:rPr>
          <w:b/>
          <w:bCs/>
          <w:lang w:val="en-US"/>
        </w:rPr>
        <w:t>.</w:t>
      </w:r>
    </w:p>
    <w:p w14:paraId="6B7B7F70" w14:textId="2594B1DF" w:rsidR="00C61634" w:rsidRPr="00C61634" w:rsidRDefault="00C61634">
      <w:pPr>
        <w:rPr>
          <w:b/>
          <w:bCs/>
          <w:lang w:val="en-US"/>
        </w:rPr>
      </w:pPr>
      <w:r w:rsidRPr="00C61634">
        <w:rPr>
          <w:lang w:val="en-US"/>
        </w:rPr>
        <w:t>Week 13</w:t>
      </w:r>
      <w:r w:rsidRPr="00C61634">
        <w:rPr>
          <w:b/>
          <w:bCs/>
          <w:lang w:val="en-US"/>
        </w:rPr>
        <w:t xml:space="preserve"> Student Presentations</w:t>
      </w:r>
      <w:r>
        <w:rPr>
          <w:b/>
          <w:bCs/>
          <w:lang w:val="en-US"/>
        </w:rPr>
        <w:t>.</w:t>
      </w:r>
    </w:p>
    <w:p w14:paraId="0B4C28A4" w14:textId="77777777" w:rsidR="00C61634" w:rsidRDefault="00C61634">
      <w:pPr>
        <w:rPr>
          <w:rFonts w:ascii="Arial" w:hAnsi="Arial" w:cs="Arial"/>
          <w:b/>
          <w:bCs/>
          <w:lang w:val="en-US"/>
        </w:rPr>
      </w:pPr>
    </w:p>
    <w:p w14:paraId="6DA9CE79" w14:textId="77777777" w:rsidR="00C61634" w:rsidRPr="006B20BC" w:rsidRDefault="00C61634" w:rsidP="00C61634">
      <w:pPr>
        <w:rPr>
          <w:lang w:val="en-US"/>
        </w:rPr>
      </w:pPr>
      <w:r w:rsidRPr="006B20BC">
        <w:rPr>
          <w:b/>
          <w:lang w:val="en-US"/>
        </w:rPr>
        <w:t>Evaluation:</w:t>
      </w:r>
      <w:r w:rsidRPr="006B20BC">
        <w:rPr>
          <w:lang w:val="en-US"/>
        </w:rPr>
        <w:t xml:space="preserve"> Student evaluation will be based on the following three criteria: </w:t>
      </w:r>
    </w:p>
    <w:p w14:paraId="2662E02F" w14:textId="77777777" w:rsidR="00C61634" w:rsidRPr="006B20BC" w:rsidRDefault="00C61634" w:rsidP="00C61634">
      <w:pPr>
        <w:numPr>
          <w:ilvl w:val="0"/>
          <w:numId w:val="1"/>
        </w:numPr>
        <w:spacing w:after="200" w:line="276" w:lineRule="auto"/>
        <w:rPr>
          <w:lang w:val="en-US"/>
        </w:rPr>
      </w:pPr>
      <w:r w:rsidRPr="006B20BC">
        <w:rPr>
          <w:lang w:val="en-US"/>
        </w:rPr>
        <w:t>20% of the final mark will depend on middle-term quizzes, to assess student progress and understanding of the course content. Quizzes will take place in weeks 4 and 8.</w:t>
      </w:r>
    </w:p>
    <w:p w14:paraId="3A3F3807" w14:textId="77777777" w:rsidR="00C61634" w:rsidRPr="006B20BC" w:rsidRDefault="00C61634" w:rsidP="00C61634">
      <w:pPr>
        <w:numPr>
          <w:ilvl w:val="0"/>
          <w:numId w:val="1"/>
        </w:numPr>
        <w:spacing w:after="200" w:line="276" w:lineRule="auto"/>
        <w:rPr>
          <w:lang w:val="en-US"/>
        </w:rPr>
      </w:pPr>
      <w:r w:rsidRPr="006B20BC">
        <w:rPr>
          <w:lang w:val="en-US"/>
        </w:rPr>
        <w:t>30% of the final mark will be based on a 15-min oral presentation of topics related to the course. Essay topics will be chosen by week 3 in consultation with the course convener, while presentations will take place in weeks 12 and 13.</w:t>
      </w:r>
    </w:p>
    <w:p w14:paraId="26552CED" w14:textId="77777777" w:rsidR="00C61634" w:rsidRPr="006B20BC" w:rsidRDefault="00C61634" w:rsidP="00C61634">
      <w:pPr>
        <w:numPr>
          <w:ilvl w:val="0"/>
          <w:numId w:val="1"/>
        </w:numPr>
        <w:spacing w:after="200" w:line="276" w:lineRule="auto"/>
        <w:rPr>
          <w:lang w:val="en-US"/>
        </w:rPr>
      </w:pPr>
      <w:r w:rsidRPr="006B20BC">
        <w:rPr>
          <w:lang w:val="en-US"/>
        </w:rPr>
        <w:lastRenderedPageBreak/>
        <w:t>50% of the final mark will be based on an end-of-term written essay of 3.500 words</w:t>
      </w:r>
    </w:p>
    <w:p w14:paraId="70184206" w14:textId="77777777" w:rsidR="00C61634" w:rsidRDefault="00C61634">
      <w:pPr>
        <w:rPr>
          <w:b/>
          <w:bCs/>
          <w:lang w:val="en-US"/>
        </w:rPr>
      </w:pPr>
    </w:p>
    <w:p w14:paraId="3341BFD2" w14:textId="07208678" w:rsidR="00C61634" w:rsidRDefault="00C61634" w:rsidP="00C61634">
      <w:pPr>
        <w:jc w:val="center"/>
        <w:rPr>
          <w:b/>
          <w:bCs/>
          <w:lang w:val="en-US"/>
        </w:rPr>
      </w:pPr>
      <w:r w:rsidRPr="00C61634">
        <w:rPr>
          <w:b/>
          <w:bCs/>
          <w:lang w:val="en-US"/>
        </w:rPr>
        <w:t>SELECT BIBLIOGRAPHY</w:t>
      </w:r>
    </w:p>
    <w:p w14:paraId="5B51E908" w14:textId="6860B12C" w:rsidR="00C61634" w:rsidRPr="00C61634" w:rsidRDefault="00C61634" w:rsidP="00C61634">
      <w:pPr>
        <w:jc w:val="both"/>
        <w:rPr>
          <w:rFonts w:ascii="Lucida Sans Unicode" w:hAnsi="Lucida Sans Unicode" w:cs="Lucida Sans Unicode"/>
          <w:color w:val="212063"/>
          <w:sz w:val="19"/>
          <w:szCs w:val="19"/>
        </w:rPr>
      </w:pPr>
      <w:r w:rsidRPr="00C61634">
        <w:rPr>
          <w:color w:val="000000"/>
        </w:rPr>
        <w:t>Aperghis, G.G. 2004</w:t>
      </w:r>
      <w:r w:rsidR="00587B8F">
        <w:rPr>
          <w:color w:val="000000"/>
        </w:rPr>
        <w:t>.</w:t>
      </w:r>
      <w:r w:rsidRPr="00C61634">
        <w:rPr>
          <w:color w:val="000000"/>
        </w:rPr>
        <w:t xml:space="preserve"> </w:t>
      </w:r>
      <w:r w:rsidRPr="00C61634">
        <w:rPr>
          <w:i/>
          <w:iCs/>
          <w:color w:val="000000"/>
        </w:rPr>
        <w:t>The Seleukid Royal Economy, The Finances and Financial Administration of the Seleukid Empire</w:t>
      </w:r>
      <w:r w:rsidR="00587B8F">
        <w:rPr>
          <w:i/>
          <w:iCs/>
          <w:color w:val="000000"/>
        </w:rPr>
        <w:t>.</w:t>
      </w:r>
      <w:r w:rsidRPr="00C61634">
        <w:rPr>
          <w:color w:val="000000"/>
        </w:rPr>
        <w:t xml:space="preserve"> Cambridge: University Press.</w:t>
      </w:r>
      <w:r>
        <w:rPr>
          <w:color w:val="000000"/>
        </w:rPr>
        <w:t xml:space="preserve"> </w:t>
      </w:r>
      <w:r>
        <w:rPr>
          <w:rFonts w:ascii="Lucida Sans Unicode" w:hAnsi="Lucida Sans Unicode" w:cs="Lucida Sans Unicode"/>
          <w:color w:val="212063"/>
          <w:sz w:val="19"/>
          <w:szCs w:val="19"/>
        </w:rPr>
        <w:t>HC415.23 .A64 2004</w:t>
      </w:r>
    </w:p>
    <w:p w14:paraId="27D37336" w14:textId="78CD4106" w:rsidR="00C61634" w:rsidRPr="00C61634" w:rsidRDefault="00C61634" w:rsidP="00C61634">
      <w:pPr>
        <w:jc w:val="both"/>
        <w:rPr>
          <w:rFonts w:ascii="Lucida Sans Unicode" w:hAnsi="Lucida Sans Unicode" w:cs="Lucida Sans Unicode"/>
          <w:color w:val="212063"/>
          <w:sz w:val="19"/>
          <w:szCs w:val="19"/>
        </w:rPr>
      </w:pPr>
      <w:r w:rsidRPr="00C61634">
        <w:rPr>
          <w:color w:val="000000"/>
        </w:rPr>
        <w:t>Billows, R.A. [1997, c1990]</w:t>
      </w:r>
      <w:r w:rsidR="00587B8F">
        <w:rPr>
          <w:color w:val="000000"/>
        </w:rPr>
        <w:t>.</w:t>
      </w:r>
      <w:r w:rsidRPr="00C61634">
        <w:rPr>
          <w:color w:val="000000"/>
        </w:rPr>
        <w:t xml:space="preserve"> </w:t>
      </w:r>
      <w:r w:rsidRPr="00C61634">
        <w:rPr>
          <w:i/>
          <w:iCs/>
          <w:color w:val="000000"/>
        </w:rPr>
        <w:t>Antigonos the One-Eyed and the Creation of the Hellenistic State</w:t>
      </w:r>
      <w:r w:rsidR="00587B8F">
        <w:rPr>
          <w:i/>
          <w:iCs/>
          <w:color w:val="000000"/>
        </w:rPr>
        <w:t>.</w:t>
      </w:r>
      <w:r w:rsidRPr="00C61634">
        <w:rPr>
          <w:color w:val="000000"/>
        </w:rPr>
        <w:t xml:space="preserve"> London: University of California Press.</w:t>
      </w:r>
      <w:r>
        <w:rPr>
          <w:color w:val="000000"/>
        </w:rPr>
        <w:t xml:space="preserve"> </w:t>
      </w:r>
      <w:r>
        <w:rPr>
          <w:rFonts w:ascii="Lucida Sans Unicode" w:hAnsi="Lucida Sans Unicode" w:cs="Lucida Sans Unicode"/>
          <w:color w:val="212063"/>
          <w:sz w:val="19"/>
          <w:szCs w:val="19"/>
        </w:rPr>
        <w:t>DF235.48.A57 B55 1990</w:t>
      </w:r>
    </w:p>
    <w:p w14:paraId="1D165631" w14:textId="12A44B37" w:rsidR="00C61634" w:rsidRPr="00C61634" w:rsidRDefault="00C61634" w:rsidP="00C61634">
      <w:pPr>
        <w:pStyle w:val="ListParagraph"/>
        <w:ind w:left="0"/>
        <w:jc w:val="both"/>
        <w:rPr>
          <w:rFonts w:ascii="Times New Roman" w:hAnsi="Times New Roman" w:cs="Times New Roman"/>
          <w:bCs/>
          <w:color w:val="000000"/>
        </w:rPr>
      </w:pPr>
      <w:r w:rsidRPr="00C61634">
        <w:rPr>
          <w:rFonts w:ascii="Times New Roman" w:hAnsi="Times New Roman" w:cs="Times New Roman"/>
          <w:bCs/>
          <w:color w:val="000000"/>
          <w:lang w:val="en-US"/>
        </w:rPr>
        <w:t>* Bugh, G.R. (ed</w:t>
      </w:r>
      <w:r w:rsidRPr="00C61634">
        <w:rPr>
          <w:rFonts w:ascii="Times New Roman" w:hAnsi="Times New Roman" w:cs="Times New Roman"/>
          <w:bCs/>
          <w:i/>
          <w:iCs/>
          <w:color w:val="000000"/>
          <w:lang w:val="en-US"/>
        </w:rPr>
        <w:t>.)</w:t>
      </w:r>
      <w:r w:rsidR="00587B8F">
        <w:rPr>
          <w:rFonts w:ascii="Times New Roman" w:hAnsi="Times New Roman" w:cs="Times New Roman"/>
          <w:bCs/>
          <w:i/>
          <w:iCs/>
          <w:color w:val="000000"/>
          <w:lang w:val="en-US"/>
        </w:rPr>
        <w:t xml:space="preserve"> </w:t>
      </w:r>
      <w:r w:rsidR="00587B8F">
        <w:rPr>
          <w:rFonts w:ascii="Times New Roman" w:hAnsi="Times New Roman" w:cs="Times New Roman"/>
          <w:bCs/>
          <w:color w:val="000000"/>
          <w:lang w:val="en-US"/>
        </w:rPr>
        <w:t>2006</w:t>
      </w:r>
      <w:r w:rsidR="00587B8F">
        <w:rPr>
          <w:rFonts w:ascii="Times New Roman" w:hAnsi="Times New Roman" w:cs="Times New Roman"/>
          <w:bCs/>
          <w:i/>
          <w:iCs/>
          <w:color w:val="000000"/>
          <w:lang w:val="en-US"/>
        </w:rPr>
        <w:t>.</w:t>
      </w:r>
      <w:r w:rsidRPr="00C61634">
        <w:rPr>
          <w:rFonts w:ascii="Times New Roman" w:hAnsi="Times New Roman" w:cs="Times New Roman"/>
          <w:bCs/>
          <w:i/>
          <w:iCs/>
          <w:color w:val="000000"/>
          <w:lang w:val="en-US"/>
        </w:rPr>
        <w:t xml:space="preserve"> The Cambridge Companion to the Hellenistic World</w:t>
      </w:r>
      <w:r w:rsidR="00587B8F">
        <w:rPr>
          <w:rFonts w:ascii="Times New Roman" w:hAnsi="Times New Roman" w:cs="Times New Roman"/>
          <w:bCs/>
          <w:i/>
          <w:iCs/>
          <w:color w:val="000000"/>
          <w:lang w:val="en-US"/>
        </w:rPr>
        <w:t>.</w:t>
      </w:r>
      <w:r w:rsidRPr="00C61634">
        <w:rPr>
          <w:rFonts w:ascii="Times New Roman" w:hAnsi="Times New Roman" w:cs="Times New Roman"/>
          <w:bCs/>
          <w:color w:val="000000"/>
          <w:lang w:val="en-US"/>
        </w:rPr>
        <w:t xml:space="preserve"> Cambridge: University Press. DE86 .C35 2006</w:t>
      </w:r>
      <w:r>
        <w:rPr>
          <w:rFonts w:ascii="Times New Roman" w:hAnsi="Times New Roman" w:cs="Times New Roman"/>
          <w:bCs/>
          <w:color w:val="000000"/>
          <w:lang w:val="en-US"/>
        </w:rPr>
        <w:t>.</w:t>
      </w:r>
    </w:p>
    <w:p w14:paraId="1309A417" w14:textId="707EEE71" w:rsidR="00C61634" w:rsidRPr="00C61634" w:rsidRDefault="00C61634" w:rsidP="00C61634">
      <w:pPr>
        <w:ind w:left="9"/>
        <w:jc w:val="both"/>
        <w:rPr>
          <w:color w:val="000000"/>
          <w:lang w:val="en-US"/>
        </w:rPr>
      </w:pPr>
      <w:r w:rsidRPr="00C61634">
        <w:rPr>
          <w:color w:val="000000"/>
        </w:rPr>
        <w:t>*Erskine, A. (ed.) 2002</w:t>
      </w:r>
      <w:r w:rsidR="00587B8F">
        <w:rPr>
          <w:color w:val="000000"/>
        </w:rPr>
        <w:t>.</w:t>
      </w:r>
      <w:r w:rsidRPr="00C61634">
        <w:rPr>
          <w:color w:val="000000"/>
        </w:rPr>
        <w:t xml:space="preserve"> </w:t>
      </w:r>
      <w:r w:rsidRPr="00C61634">
        <w:rPr>
          <w:i/>
          <w:iCs/>
          <w:color w:val="000000"/>
        </w:rPr>
        <w:t>A Companion to the Hellenistic World</w:t>
      </w:r>
      <w:r w:rsidR="00587B8F">
        <w:rPr>
          <w:i/>
          <w:iCs/>
          <w:color w:val="000000"/>
        </w:rPr>
        <w:t>.</w:t>
      </w:r>
      <w:r w:rsidRPr="00C61634">
        <w:rPr>
          <w:color w:val="000000"/>
        </w:rPr>
        <w:t xml:space="preserve"> London: Blackwell. DE</w:t>
      </w:r>
      <w:r w:rsidRPr="00C61634">
        <w:rPr>
          <w:color w:val="000000"/>
          <w:lang w:val="en-US"/>
        </w:rPr>
        <w:t>86</w:t>
      </w:r>
      <w:r w:rsidRPr="00C61634">
        <w:rPr>
          <w:color w:val="000000"/>
        </w:rPr>
        <w:t> </w:t>
      </w:r>
      <w:r w:rsidRPr="00C61634">
        <w:rPr>
          <w:color w:val="000000"/>
          <w:lang w:val="en-US"/>
        </w:rPr>
        <w:t>.</w:t>
      </w:r>
      <w:r w:rsidRPr="00C61634">
        <w:rPr>
          <w:color w:val="000000"/>
        </w:rPr>
        <w:t>C</w:t>
      </w:r>
      <w:r w:rsidRPr="00C61634">
        <w:rPr>
          <w:color w:val="000000"/>
          <w:lang w:val="en-US"/>
        </w:rPr>
        <w:t>65 2003.</w:t>
      </w:r>
      <w:r>
        <w:rPr>
          <w:color w:val="000000"/>
          <w:lang w:val="en-US"/>
        </w:rPr>
        <w:t xml:space="preserve"> </w:t>
      </w:r>
    </w:p>
    <w:p w14:paraId="3FB4BA78" w14:textId="10E5C0A0" w:rsidR="00C61634" w:rsidRPr="00C61634" w:rsidRDefault="00C61634" w:rsidP="00C61634">
      <w:pPr>
        <w:ind w:left="9"/>
        <w:jc w:val="both"/>
        <w:rPr>
          <w:color w:val="000000"/>
          <w:lang w:val="en-US"/>
        </w:rPr>
      </w:pPr>
      <w:r w:rsidRPr="00C61634">
        <w:rPr>
          <w:color w:val="000000"/>
          <w:lang w:val="en-US"/>
        </w:rPr>
        <w:t>*Chaniotis, A., 2018</w:t>
      </w:r>
      <w:r w:rsidR="00587B8F">
        <w:rPr>
          <w:color w:val="000000"/>
          <w:lang w:val="en-US"/>
        </w:rPr>
        <w:t>.</w:t>
      </w:r>
      <w:r w:rsidRPr="00C61634">
        <w:rPr>
          <w:color w:val="000000"/>
          <w:lang w:val="en-US"/>
        </w:rPr>
        <w:t xml:space="preserve"> </w:t>
      </w:r>
      <w:r w:rsidRPr="00C61634">
        <w:rPr>
          <w:i/>
          <w:iCs/>
          <w:color w:val="000000"/>
          <w:lang w:val="en-US"/>
        </w:rPr>
        <w:t>The Age of Conquests</w:t>
      </w:r>
      <w:r w:rsidR="00587B8F">
        <w:rPr>
          <w:i/>
          <w:iCs/>
          <w:color w:val="000000"/>
          <w:lang w:val="en-US"/>
        </w:rPr>
        <w:t>.</w:t>
      </w:r>
      <w:r>
        <w:rPr>
          <w:color w:val="000000"/>
          <w:lang w:val="en-US"/>
        </w:rPr>
        <w:t xml:space="preserve"> Cambridge, Mass.: Harvard University Press. DF214.C43 2018.</w:t>
      </w:r>
    </w:p>
    <w:p w14:paraId="1EDA2016" w14:textId="6EAD5380" w:rsidR="00C61634" w:rsidRPr="00C61634" w:rsidRDefault="00C61634" w:rsidP="00C61634">
      <w:pPr>
        <w:jc w:val="both"/>
      </w:pPr>
      <w:r w:rsidRPr="00C61634">
        <w:t xml:space="preserve">Chaniotis, A. 2005, </w:t>
      </w:r>
      <w:r w:rsidRPr="00C61634">
        <w:rPr>
          <w:i/>
        </w:rPr>
        <w:t>War in the Hellenistic Period: A Social and Cultural History</w:t>
      </w:r>
      <w:r w:rsidR="00587B8F">
        <w:rPr>
          <w:i/>
        </w:rPr>
        <w:t>.</w:t>
      </w:r>
      <w:r w:rsidRPr="00C61634">
        <w:t xml:space="preserve"> Oxford: Blackwell</w:t>
      </w:r>
      <w:r w:rsidR="00587B8F">
        <w:t>.</w:t>
      </w:r>
      <w:r>
        <w:t xml:space="preserve"> </w:t>
      </w:r>
      <w:r>
        <w:rPr>
          <w:rFonts w:ascii="Lucida Sans Unicode" w:hAnsi="Lucida Sans Unicode" w:cs="Lucida Sans Unicode"/>
          <w:color w:val="212063"/>
          <w:sz w:val="19"/>
          <w:szCs w:val="19"/>
          <w:shd w:val="clear" w:color="auto" w:fill="F5F6F7"/>
        </w:rPr>
        <w:t>GrRePK RETCL RMCOL U31 C49 2005</w:t>
      </w:r>
    </w:p>
    <w:p w14:paraId="6B85F875" w14:textId="53879B88" w:rsidR="00C61634" w:rsidRPr="00BE145C" w:rsidRDefault="00C61634" w:rsidP="00C61634">
      <w:pPr>
        <w:jc w:val="both"/>
        <w:rPr>
          <w:color w:val="000000"/>
        </w:rPr>
      </w:pPr>
      <w:proofErr w:type="spellStart"/>
      <w:r w:rsidRPr="00BE145C">
        <w:rPr>
          <w:color w:val="000000"/>
        </w:rPr>
        <w:t>Férrary</w:t>
      </w:r>
      <w:proofErr w:type="spellEnd"/>
      <w:r w:rsidRPr="00BE145C">
        <w:rPr>
          <w:color w:val="000000"/>
        </w:rPr>
        <w:t>, J.-L. 1988</w:t>
      </w:r>
      <w:r w:rsidR="00587B8F" w:rsidRPr="00BE145C">
        <w:rPr>
          <w:color w:val="000000"/>
        </w:rPr>
        <w:t>.</w:t>
      </w:r>
      <w:r w:rsidRPr="00BE145C">
        <w:rPr>
          <w:color w:val="000000"/>
        </w:rPr>
        <w:t xml:space="preserve"> </w:t>
      </w:r>
      <w:proofErr w:type="spellStart"/>
      <w:r w:rsidRPr="00C61634">
        <w:rPr>
          <w:i/>
          <w:color w:val="000000"/>
          <w:lang w:val="fr-FR"/>
        </w:rPr>
        <w:t>Philellénisme</w:t>
      </w:r>
      <w:proofErr w:type="spellEnd"/>
      <w:r w:rsidRPr="00C61634">
        <w:rPr>
          <w:i/>
          <w:color w:val="000000"/>
          <w:lang w:val="fr-FR"/>
        </w:rPr>
        <w:t xml:space="preserve"> et impérialisme: aspects idéologiques de la conquête romaine du monde hellénistique, de la seconde guerre romaine à la guerre contre Mithridate</w:t>
      </w:r>
      <w:r w:rsidR="00587B8F">
        <w:rPr>
          <w:i/>
          <w:color w:val="000000"/>
          <w:lang w:val="fr-FR"/>
        </w:rPr>
        <w:t>.</w:t>
      </w:r>
      <w:r w:rsidRPr="00C61634">
        <w:rPr>
          <w:color w:val="000000"/>
          <w:lang w:val="fr-FR"/>
        </w:rPr>
        <w:t xml:space="preserve"> </w:t>
      </w:r>
      <w:r w:rsidRPr="00BE145C">
        <w:rPr>
          <w:color w:val="000000"/>
        </w:rPr>
        <w:t xml:space="preserve">Rome. </w:t>
      </w:r>
      <w:r w:rsidRPr="00C61634">
        <w:rPr>
          <w:color w:val="000000"/>
        </w:rPr>
        <w:t>DG215.G8 F47 1988.</w:t>
      </w:r>
    </w:p>
    <w:p w14:paraId="0A9D901F" w14:textId="693DCEA9" w:rsidR="00C61634" w:rsidRPr="00C61634" w:rsidRDefault="00C61634" w:rsidP="00C61634">
      <w:pPr>
        <w:jc w:val="both"/>
      </w:pPr>
      <w:proofErr w:type="spellStart"/>
      <w:r w:rsidRPr="00C61634">
        <w:t>Hatzopoulos</w:t>
      </w:r>
      <w:proofErr w:type="spellEnd"/>
      <w:r w:rsidRPr="00C61634">
        <w:t>, M.B. 2020</w:t>
      </w:r>
      <w:r w:rsidR="00587B8F">
        <w:t>.</w:t>
      </w:r>
      <w:r w:rsidRPr="00C61634">
        <w:t xml:space="preserve"> </w:t>
      </w:r>
      <w:r w:rsidRPr="00C61634">
        <w:rPr>
          <w:i/>
          <w:iCs/>
        </w:rPr>
        <w:t>Ancient Macedonia</w:t>
      </w:r>
      <w:r w:rsidRPr="00C61634">
        <w:t>, Trends in Classics – Key Perspectives on Classical Research 1</w:t>
      </w:r>
      <w:r w:rsidR="00587B8F">
        <w:t>.</w:t>
      </w:r>
      <w:r w:rsidRPr="00C61634">
        <w:t xml:space="preserve"> Berlin, Boston: De Gruyter.</w:t>
      </w:r>
    </w:p>
    <w:p w14:paraId="3F92D9CD" w14:textId="0EACC8CE" w:rsidR="00C61634" w:rsidRPr="00C61634" w:rsidRDefault="00C61634" w:rsidP="00C61634">
      <w:pPr>
        <w:jc w:val="both"/>
        <w:rPr>
          <w:rFonts w:ascii="Lucida Sans Unicode" w:hAnsi="Lucida Sans Unicode" w:cs="Lucida Sans Unicode"/>
          <w:color w:val="212063"/>
          <w:sz w:val="19"/>
          <w:szCs w:val="19"/>
        </w:rPr>
      </w:pPr>
      <w:r w:rsidRPr="00C61634">
        <w:rPr>
          <w:color w:val="000000"/>
        </w:rPr>
        <w:t>Ma, J. 2001</w:t>
      </w:r>
      <w:r w:rsidR="00587B8F">
        <w:rPr>
          <w:color w:val="000000"/>
        </w:rPr>
        <w:t>.</w:t>
      </w:r>
      <w:r w:rsidRPr="00C61634">
        <w:rPr>
          <w:color w:val="000000"/>
        </w:rPr>
        <w:t xml:space="preserve"> </w:t>
      </w:r>
      <w:r w:rsidRPr="00C61634">
        <w:rPr>
          <w:i/>
          <w:iCs/>
          <w:color w:val="000000"/>
        </w:rPr>
        <w:t>Antiochos III and the Cities of Asia Minor</w:t>
      </w:r>
      <w:r w:rsidR="00587B8F">
        <w:rPr>
          <w:i/>
          <w:iCs/>
          <w:color w:val="000000"/>
        </w:rPr>
        <w:t>.</w:t>
      </w:r>
      <w:r w:rsidRPr="00C61634">
        <w:rPr>
          <w:color w:val="000000"/>
        </w:rPr>
        <w:t xml:space="preserve"> Oxford: University Press.</w:t>
      </w:r>
      <w:r>
        <w:rPr>
          <w:color w:val="000000"/>
        </w:rPr>
        <w:t xml:space="preserve"> </w:t>
      </w:r>
      <w:r>
        <w:rPr>
          <w:rFonts w:ascii="Lucida Sans Unicode" w:hAnsi="Lucida Sans Unicode" w:cs="Lucida Sans Unicode"/>
          <w:color w:val="212063"/>
          <w:sz w:val="19"/>
          <w:szCs w:val="19"/>
        </w:rPr>
        <w:br/>
        <w:t>DS155 .M293 1999</w:t>
      </w:r>
    </w:p>
    <w:p w14:paraId="34300353" w14:textId="1CBDB14E" w:rsidR="00C61634" w:rsidRPr="00C61634" w:rsidRDefault="00C61634" w:rsidP="00C61634">
      <w:pPr>
        <w:jc w:val="both"/>
        <w:rPr>
          <w:rFonts w:ascii="Lucida Sans Unicode" w:hAnsi="Lucida Sans Unicode" w:cs="Lucida Sans Unicode"/>
          <w:color w:val="212063"/>
          <w:sz w:val="19"/>
          <w:szCs w:val="19"/>
        </w:rPr>
      </w:pPr>
      <w:r w:rsidRPr="00C61634">
        <w:rPr>
          <w:color w:val="000000"/>
        </w:rPr>
        <w:t>Shipley, G. 2000</w:t>
      </w:r>
      <w:r w:rsidR="00587B8F">
        <w:rPr>
          <w:color w:val="000000"/>
        </w:rPr>
        <w:t>.</w:t>
      </w:r>
      <w:r w:rsidRPr="00C61634">
        <w:rPr>
          <w:color w:val="000000"/>
        </w:rPr>
        <w:t xml:space="preserve"> </w:t>
      </w:r>
      <w:r w:rsidRPr="00C61634">
        <w:rPr>
          <w:i/>
          <w:iCs/>
          <w:color w:val="000000"/>
        </w:rPr>
        <w:t>The Greek World after Alexander, 323-30 BC</w:t>
      </w:r>
      <w:r w:rsidRPr="00C61634">
        <w:rPr>
          <w:color w:val="000000"/>
        </w:rPr>
        <w:t>, 2 vols. London: Routledge.</w:t>
      </w:r>
      <w:r>
        <w:rPr>
          <w:color w:val="000000"/>
        </w:rPr>
        <w:t xml:space="preserve"> </w:t>
      </w:r>
      <w:r>
        <w:rPr>
          <w:rFonts w:ascii="Lucida Sans Unicode" w:hAnsi="Lucida Sans Unicode" w:cs="Lucida Sans Unicode"/>
          <w:color w:val="212063"/>
          <w:sz w:val="19"/>
          <w:szCs w:val="19"/>
        </w:rPr>
        <w:br/>
        <w:t>DF235 .S54 2000</w:t>
      </w:r>
    </w:p>
    <w:p w14:paraId="643CEBE3" w14:textId="288E8D1C" w:rsidR="00C61634" w:rsidRPr="00C61634" w:rsidRDefault="00C61634" w:rsidP="00C61634">
      <w:pPr>
        <w:jc w:val="both"/>
        <w:rPr>
          <w:color w:val="000000"/>
        </w:rPr>
      </w:pPr>
      <w:r w:rsidRPr="00C61634">
        <w:rPr>
          <w:color w:val="000000"/>
        </w:rPr>
        <w:t>Thonemann, P. 20</w:t>
      </w:r>
      <w:r>
        <w:rPr>
          <w:color w:val="000000"/>
        </w:rPr>
        <w:t>13</w:t>
      </w:r>
      <w:r w:rsidR="00587B8F">
        <w:rPr>
          <w:color w:val="000000"/>
        </w:rPr>
        <w:t>.</w:t>
      </w:r>
      <w:r>
        <w:rPr>
          <w:color w:val="000000"/>
        </w:rPr>
        <w:t xml:space="preserve"> </w:t>
      </w:r>
      <w:r w:rsidRPr="00C61634">
        <w:rPr>
          <w:i/>
          <w:iCs/>
          <w:color w:val="000000"/>
        </w:rPr>
        <w:t>Attalid Asia Minor: Money, International Relations, and the State</w:t>
      </w:r>
      <w:r w:rsidR="00587B8F">
        <w:rPr>
          <w:i/>
          <w:iCs/>
          <w:color w:val="000000"/>
        </w:rPr>
        <w:t>.</w:t>
      </w:r>
      <w:r w:rsidRPr="00C61634">
        <w:rPr>
          <w:color w:val="000000"/>
        </w:rPr>
        <w:t xml:space="preserve"> Oxford: University Press.</w:t>
      </w:r>
      <w:r>
        <w:rPr>
          <w:color w:val="000000"/>
        </w:rPr>
        <w:t xml:space="preserve"> </w:t>
      </w:r>
      <w:r>
        <w:rPr>
          <w:rFonts w:ascii="Lucida Sans Unicode" w:hAnsi="Lucida Sans Unicode" w:cs="Lucida Sans Unicode"/>
          <w:color w:val="212063"/>
          <w:sz w:val="19"/>
          <w:szCs w:val="19"/>
          <w:shd w:val="clear" w:color="auto" w:fill="F5F6F7"/>
        </w:rPr>
        <w:t>DS156.P4 A88 2013</w:t>
      </w:r>
    </w:p>
    <w:sectPr w:rsidR="00C61634" w:rsidRPr="00C61634" w:rsidSect="00C61634">
      <w:footerReference w:type="even" r:id="rId7"/>
      <w:footerReference w:type="default" r:id="rId8"/>
      <w:pgSz w:w="11906" w:h="16838"/>
      <w:pgMar w:top="1440" w:right="111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5E7A5" w14:textId="77777777" w:rsidR="00F120F7" w:rsidRDefault="00F120F7" w:rsidP="00C61634">
      <w:r>
        <w:separator/>
      </w:r>
    </w:p>
  </w:endnote>
  <w:endnote w:type="continuationSeparator" w:id="0">
    <w:p w14:paraId="1D58AD6A" w14:textId="77777777" w:rsidR="00F120F7" w:rsidRDefault="00F120F7" w:rsidP="00C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76420858"/>
      <w:docPartObj>
        <w:docPartGallery w:val="Page Numbers (Bottom of Page)"/>
        <w:docPartUnique/>
      </w:docPartObj>
    </w:sdtPr>
    <w:sdtEndPr>
      <w:rPr>
        <w:rStyle w:val="PageNumber"/>
      </w:rPr>
    </w:sdtEndPr>
    <w:sdtContent>
      <w:p w14:paraId="51F2B900" w14:textId="6BE7D53A" w:rsidR="00C61634" w:rsidRDefault="00C61634" w:rsidP="00EC630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70301E" w14:textId="77777777" w:rsidR="00C61634" w:rsidRDefault="00C6163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65692201"/>
      <w:docPartObj>
        <w:docPartGallery w:val="Page Numbers (Bottom of Page)"/>
        <w:docPartUnique/>
      </w:docPartObj>
    </w:sdtPr>
    <w:sdtEndPr>
      <w:rPr>
        <w:rStyle w:val="PageNumber"/>
      </w:rPr>
    </w:sdtEndPr>
    <w:sdtContent>
      <w:p w14:paraId="0F711E10" w14:textId="2D49CBB1" w:rsidR="00C61634" w:rsidRDefault="00C61634" w:rsidP="00EC630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E145C">
          <w:rPr>
            <w:rStyle w:val="PageNumber"/>
            <w:noProof/>
          </w:rPr>
          <w:t>1</w:t>
        </w:r>
        <w:r>
          <w:rPr>
            <w:rStyle w:val="PageNumber"/>
          </w:rPr>
          <w:fldChar w:fldCharType="end"/>
        </w:r>
      </w:p>
    </w:sdtContent>
  </w:sdt>
  <w:p w14:paraId="5ECD9244" w14:textId="77777777" w:rsidR="00C61634" w:rsidRDefault="00C616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F4AF9" w14:textId="77777777" w:rsidR="00F120F7" w:rsidRDefault="00F120F7" w:rsidP="00C61634">
      <w:r>
        <w:separator/>
      </w:r>
    </w:p>
  </w:footnote>
  <w:footnote w:type="continuationSeparator" w:id="0">
    <w:p w14:paraId="26C95C68" w14:textId="77777777" w:rsidR="00F120F7" w:rsidRDefault="00F120F7" w:rsidP="00C616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E42EBA"/>
    <w:multiLevelType w:val="hybridMultilevel"/>
    <w:tmpl w:val="9B7E98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34"/>
    <w:rsid w:val="00587B8F"/>
    <w:rsid w:val="00677EAF"/>
    <w:rsid w:val="006E0C6D"/>
    <w:rsid w:val="00765572"/>
    <w:rsid w:val="00A702A7"/>
    <w:rsid w:val="00BE145C"/>
    <w:rsid w:val="00C61634"/>
    <w:rsid w:val="00ED401D"/>
    <w:rsid w:val="00F120F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5565"/>
  <w15:chartTrackingRefBased/>
  <w15:docId w15:val="{DD9A4D9A-DF94-F345-A499-2A7BB3D1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1634"/>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6163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6163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6163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61634"/>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C61634"/>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C61634"/>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C61634"/>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C61634"/>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C61634"/>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6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6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6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6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6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6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6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6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634"/>
    <w:rPr>
      <w:rFonts w:eastAsiaTheme="majorEastAsia" w:cstheme="majorBidi"/>
      <w:color w:val="272727" w:themeColor="text1" w:themeTint="D8"/>
    </w:rPr>
  </w:style>
  <w:style w:type="paragraph" w:styleId="Title">
    <w:name w:val="Title"/>
    <w:basedOn w:val="Normal"/>
    <w:next w:val="Normal"/>
    <w:link w:val="TitleChar"/>
    <w:uiPriority w:val="10"/>
    <w:qFormat/>
    <w:rsid w:val="00C6163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61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63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616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634"/>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C61634"/>
    <w:rPr>
      <w:i/>
      <w:iCs/>
      <w:color w:val="404040" w:themeColor="text1" w:themeTint="BF"/>
    </w:rPr>
  </w:style>
  <w:style w:type="paragraph" w:styleId="ListParagraph">
    <w:name w:val="List Paragraph"/>
    <w:basedOn w:val="Normal"/>
    <w:uiPriority w:val="34"/>
    <w:qFormat/>
    <w:rsid w:val="00C61634"/>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C61634"/>
    <w:rPr>
      <w:i/>
      <w:iCs/>
      <w:color w:val="0F4761" w:themeColor="accent1" w:themeShade="BF"/>
    </w:rPr>
  </w:style>
  <w:style w:type="paragraph" w:styleId="IntenseQuote">
    <w:name w:val="Intense Quote"/>
    <w:basedOn w:val="Normal"/>
    <w:next w:val="Normal"/>
    <w:link w:val="IntenseQuoteChar"/>
    <w:uiPriority w:val="30"/>
    <w:qFormat/>
    <w:rsid w:val="00C6163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C61634"/>
    <w:rPr>
      <w:i/>
      <w:iCs/>
      <w:color w:val="0F4761" w:themeColor="accent1" w:themeShade="BF"/>
    </w:rPr>
  </w:style>
  <w:style w:type="character" w:styleId="IntenseReference">
    <w:name w:val="Intense Reference"/>
    <w:basedOn w:val="DefaultParagraphFont"/>
    <w:uiPriority w:val="32"/>
    <w:qFormat/>
    <w:rsid w:val="00C61634"/>
    <w:rPr>
      <w:b/>
      <w:bCs/>
      <w:smallCaps/>
      <w:color w:val="0F4761" w:themeColor="accent1" w:themeShade="BF"/>
      <w:spacing w:val="5"/>
    </w:rPr>
  </w:style>
  <w:style w:type="paragraph" w:styleId="Footer">
    <w:name w:val="footer"/>
    <w:basedOn w:val="Normal"/>
    <w:link w:val="FooterChar"/>
    <w:uiPriority w:val="99"/>
    <w:unhideWhenUsed/>
    <w:rsid w:val="00C61634"/>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C61634"/>
  </w:style>
  <w:style w:type="character" w:styleId="PageNumber">
    <w:name w:val="page number"/>
    <w:basedOn w:val="DefaultParagraphFont"/>
    <w:uiPriority w:val="99"/>
    <w:semiHidden/>
    <w:unhideWhenUsed/>
    <w:rsid w:val="00C61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26483">
      <w:bodyDiv w:val="1"/>
      <w:marLeft w:val="0"/>
      <w:marRight w:val="0"/>
      <w:marTop w:val="0"/>
      <w:marBottom w:val="0"/>
      <w:divBdr>
        <w:top w:val="none" w:sz="0" w:space="0" w:color="auto"/>
        <w:left w:val="none" w:sz="0" w:space="0" w:color="auto"/>
        <w:bottom w:val="none" w:sz="0" w:space="0" w:color="auto"/>
        <w:right w:val="none" w:sz="0" w:space="0" w:color="auto"/>
      </w:divBdr>
    </w:div>
    <w:div w:id="1173035777">
      <w:bodyDiv w:val="1"/>
      <w:marLeft w:val="0"/>
      <w:marRight w:val="0"/>
      <w:marTop w:val="0"/>
      <w:marBottom w:val="0"/>
      <w:divBdr>
        <w:top w:val="none" w:sz="0" w:space="0" w:color="auto"/>
        <w:left w:val="none" w:sz="0" w:space="0" w:color="auto"/>
        <w:bottom w:val="none" w:sz="0" w:space="0" w:color="auto"/>
        <w:right w:val="none" w:sz="0" w:space="0" w:color="auto"/>
      </w:divBdr>
    </w:div>
    <w:div w:id="1513912306">
      <w:bodyDiv w:val="1"/>
      <w:marLeft w:val="0"/>
      <w:marRight w:val="0"/>
      <w:marTop w:val="0"/>
      <w:marBottom w:val="0"/>
      <w:divBdr>
        <w:top w:val="none" w:sz="0" w:space="0" w:color="auto"/>
        <w:left w:val="none" w:sz="0" w:space="0" w:color="auto"/>
        <w:bottom w:val="none" w:sz="0" w:space="0" w:color="auto"/>
        <w:right w:val="none" w:sz="0" w:space="0" w:color="auto"/>
      </w:divBdr>
    </w:div>
    <w:div w:id="153727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3971</Characters>
  <Application>Microsoft Macintosh Word</Application>
  <DocSecurity>0</DocSecurity>
  <Lines>33</Lines>
  <Paragraphs>9</Paragraphs>
  <ScaleCrop>false</ScaleCrop>
  <Company>University of Crete</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Κατερίνα Παναγοπούλου</dc:creator>
  <cp:keywords/>
  <dc:description/>
  <cp:lastModifiedBy>Melina Tamiolaki</cp:lastModifiedBy>
  <cp:revision>3</cp:revision>
  <dcterms:created xsi:type="dcterms:W3CDTF">2025-03-26T08:13:00Z</dcterms:created>
  <dcterms:modified xsi:type="dcterms:W3CDTF">2025-04-22T09:17:00Z</dcterms:modified>
</cp:coreProperties>
</file>